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196 vom 21. Juli 1992</w:t>
      </w:r>
    </w:p>
    <w:p>
      <w:r>
        <w:t>Bundesgericht (BGE), 1992-07-21, DE</w:t>
      </w:r>
    </w:p>
    <w:p>
      <w:r>
        <w:rPr>
          <w:b/>
        </w:rPr>
        <w:t xml:space="preserve">Quelle: </w:t>
      </w:r>
      <w:r>
        <w:t>https://mcp.opencaselaw.ch/entscheid/bge_118 IB 196</w:t>
      </w:r>
    </w:p>
    <w:p>
      <w:r>
        <w:t>FR: BGE 118 IB 196 du 21 juillet 1992</w:t>
      </w:r>
    </w:p>
    <w:p>
      <w:r>
        <w:t>IT: BGE 118 IB 196 del 21 luglio 1992</w:t>
      </w:r>
    </w:p>
    <w:p>
      <w:pPr>
        <w:pStyle w:val="Heading2"/>
      </w:pPr>
      <w:r>
        <w:t>Regeste</w:t>
      </w:r>
    </w:p>
    <w:p>
      <w:r>
        <w:t>Regeste Art. 5 Abs. 2, Art. 34 RPG, kantonales Planungs- und Enteignungsrecht; materielle oder formelle Enteignung? Zulässigkeit der Verwaltungsgerichtsbeschwerde gegen einen Enteignungsentscheid, in welchem die Frage der materiellen Enteignung nicht behandelt wird, weil eine formelle Enteignung vorliege (E. 1). Der Erwerb eines im Generellen Erschliessungsplan eingezeichneten öffentlichen Fusswegrechts über eine Privatstrasse hat im vorliegenden Fall auf dem Weg der formellen Enteignung zu erfolgen (E. 2).</w:t>
      </w:r>
    </w:p>
    <w:p>
      <w:pPr>
        <w:pStyle w:val="Heading2"/>
      </w:pPr>
      <w:r>
        <w:t>Erwägungen</w:t>
      </w:r>
    </w:p>
    <w:p>
      <w:r>
        <w:rPr>
          <w:b/>
        </w:rPr>
        <w:t>E. 1</w:t>
      </w:r>
    </w:p>
    <w:p>
      <w:r>
        <w:t>Die Gemeinde Arosa hat gegen den Entscheid des Verwaltungsgerichts des Kantons Graubünden vom 18. Februar 1992 Verwaltungsgerichtsbeschwerde und staatsrechtliche Beschwerde eingereicht. Welches Rechtsmittel zulässig ist, ob im vorliegenden Fall beide erhobenen Rechtsmittel ergriffen werden können und in welchem Umfang auf ein zulässiges Rechtsmittel eingetreten werden kann, prüft das Bundesgericht von Amtes wegen und mit freier Kognition ( BGE 117 Ia 2 E. 1, 85 E. 1; BGE 117 Ib 138 E. 1, 156 E. 1, je mit Hinweisen). Beide Rechtsmittel sind gegen denselben Entscheid gerichtet, weshalb sie in einem Urteil zu behandeln sind. a) In ihrer Verwaltungsgerichtsbeschwerde rügt die Gemeinde Arosa sinngemäss, das Verwaltungsgericht habe die in Art. 5 Abs. 2 RPG enthaltenen Grundsätze über die materielle Enteignung zu Unrecht nicht angewendet, sondern sei in unzutreffender Weise vom Vorliegen einer formellen Enteignung ausgegangen. Diese Rüge ist nach der Rechtsmittelordnung des Art. 34 RPG grundsätzlich im Rahmen der Verwaltungsgerichtsbeschwerde zu prüfen ( BGE 116 Ib 237 f. E. 1b, BGE 114 Ib 175 , BGE 113 Ib 215 ff. E. 2a, 369 ff., je mit Hinweisen). Die Gemeinde Arosa ist gemäss Art. 34 Abs. 2 RPG beschwerdeberechtigt. b) Mit dem angefochtenen Entscheid des Verwaltungsgerichts wird das streitige Entschädigungsverfahren nicht endgültig abgeschlossen. Vielmehr überweist das Verwaltungsgericht die Sache zur Bestimmung der Enteignungsentschädigung an die Enteignungskommission. Dennoch ist die Verwaltungsgerichtsbeschwerde schon gegen den angefochtenen Entscheid des Verwaltungsgerichts zulässig, da nach der Rechtsprechung des Bundesgerichts eine Verfügung im Sinne von Art. 5 VwVG , in der ein Grundsatzentscheid - hier BGE 118 Ib 196 S. 199 in bezug auf die Frage der Enteignungsart - getroffen und die Sache im Sinne der Erwägungen an eine untere Instanz zurückgewiesen wird, eine Endverfügung darstellt ( BGE 107 Ib 221 f. E. 1 mit Hinweisen). Es wäre auch hier mit dem Grundsatz der Verfahrensökonomie unvereinbar, Arbeiten der Enteignungskommission zu veranlassen, welche mit der Entscheidung der Grundsatzfrage gegebenenfalls unnötig würden. Sollte sich nämlich herausstellen, dass in der vorliegenden Enteignungssache die Grundsätze der materiellen Enteignung zur Anwendung kommen, so hätte das Verwaltungsgericht nach der bündnerischen Verfahrensordnung zunächst darüber zu entscheiden, ob der Tatbestand der materiellen Enteignung erfüllt ist (vgl. Art. 22 kEntG). c) Mit staatsrechtlicher Beschwerde bringt die Gemeinde Arosa vor, das Verwaltungsgericht habe das kantonale Raumplanungs- und Enteignungsrecht in willkürlicher Weise ausgelegt und angewendet, weil ihr nach dem angefochtenen Entscheid die Möglichkeit genommen werde, den Ägertenweg in der Ortsplanungsrevision mit einem öffentlichen Fuss- und Fahrweg zu belegen. Diese Rüge kann im Rahmen der Verwaltungsgerichtsbeschwerde geprüft werden, da die Gemeinde eine auf kantonales Recht gestützte Anordnung beanstandet, die in einem engen Sachzusammenhang mit der Frage der Anwendung von Art. 5 Abs. 2 RPG steht (vgl. BGE 117 Ib 11 , BGE 114 Ib 115 E. 1a, BGE 112 Ib 516 E. 1a, je mit Hinweisen). Für die subsidiäre staatsrechtliche Beschwerde bleibt somit kein Raum ( BGE 117 Ib 11 mit Hinweisen). Soweit im Rahmen der Verwaltungsgerichtsbeschwerde selbständiges kantonales Recht zur Diskussion steht, richtet sich die Kognition des Bundesgerichts jedoch nach den für die staatsrechtliche Beschwerde geltenden Grundsätzen ( BGE 116 Ib 10 mit Hinweisen). d) Zusammenfassend ist festzuhalten, dass beide von der Gemeinde Arosa erhobenen Beschwerden im Rahmen der Verwaltungsgerichtsbeschwerde zu behandeln sind. Da sämtliche Sachurteilsvoraussetzungen dieses Rechtsmittels erfüllt sind, ist darauf einzutreten.</w:t>
      </w:r>
    </w:p>
    <w:p>
      <w:r>
        <w:rPr>
          <w:b/>
        </w:rPr>
        <w:t>E. 2</w:t>
      </w:r>
    </w:p>
    <w:p>
      <w:r>
        <w:t>a) Die Gemeinde Arosa legt dar, das kommunale Baugesetz und der Generelle Erschliessungsplan seien gemäss Art. 18 f. des Raumplanungsgesetzes für den Kanton Graubünden vom 20. Mai 1973 (KRG) zwingend vorgeschriebene Ortsplanungselemente. Sie seien - soweit hier von Interesse - am 4. Dezember 1988 von der Gemeindeversammlung Arosa verabschiedet ( Art. 37 Abs. 1 KRG ) und am 18. September 1989 von der Kantonsregierung genehmigt BGE 118 Ib 196 S. 200 ( Art. 37 Abs. 3 KRG ) worden. Seither seien sie gültig und anwendbar. Der Generelle Erschliessungsplan halte alle vorhandenen Strassen und Wege fest. Der Ägertenweg figuriere darin als "private Erschliessungsstrasse mit öffentlichem Fusswegrecht (Epöf)". Aus dieser Planfestsetzung resultiere die umstrittene Eigentumsbeschränkung, welche seit der Genehmigung des Generellen Erschliessungsplans durch die Regierung rechtswirksam sei. Die Eigentumsbeschränkung müsse somit nicht erst noch herbeigeführt werden, sondern sei Folge der erwähnten Ortsplanungsrevision aus dem Jahre 1988. b) Nach Auffassung des Verwaltungsgerichts hat die Gemeinde Arosa mit ihrer Baugesetz- und Ortsplanungsrevision im Jahre 1988 lediglich die Voraussetzungen dafür geschaffen, dass die für die Öffentlichkeit benötigten Rechte auf dem Weg der formellen Enteignung erworben werden können. Gemäss Art. 70 Abs. 1 BG enthalte der Generelle Erschliessungsplan nämlich nur die bestehenden Erschliessungsanlagen. Die Strassen, Wege und Plätze seien dabei gemäss Art. 73 Abs. 1 BG in verschiedene Kategorien, so etwa die im Privateigentum stehenden Anlagen, die mit einem Fusswegrecht zugunsten der Öffentlichkeit belastet seien, unterteilt. Die Anlagen und Kategorien seien im Generellen Erschliessungsplan einzuzeichnen (Art. 73 Abs. 2 BG). Der Generelle Erschliessungsplan habe demnach bezüglich der Kategorien nur deskriptiven Charakter. Die im Privateigentum stehenden Anlagen müssten entweder mit Rechten zugunsten der Öffentlichkeit schon belastet sein, oder - wo das Recht noch nicht vorhanden sei - gemäss Art. 73 Abs. 4 BG mit solchen Rechten noch belastet werden. Art. 73 Abs. 4 BG räume dem Gemeinderat die Befugnis ein, rein private Anlagen gegen angemessene Entschädigung mit einem Fuss- und Fahrwegrecht zugunsten der Öffentlichkeit zu belasten, wenn daran ein öffentliches Interesse bestehe. Eine analoge Bestimmung enthalte Art. 73 Abs. 5 BG, wonach unter den gleichen Voraussetzungen Privatanlagen von der Gemeinde zu Eigentum übernommen werden könnten. Es gehe somit in beiden Fällen um die zwangsweise Einräumung von dinglichen Rechten (Dienstbarkeiten, Eigentum), mithin um Eingriffe in den Rechtstitel und nicht nur in die Gebrauchs- und Nutzungsrechte. Verlange aber das kommunale Baugesetz die Einräumung von Rechten, und begnüge es sich nicht mit dem Erlass öffentlichrechtlicher Eigentumsbeschränkungen, so könne dies nur auf dem Wege der formellen Enteignung geschehen, sei es durch gütliche Einigung, sei es durch Erteilung des Enteignungsrechtes durch die Regierung im BGE 118 Ib 196 S. 201 Sinne von Art. 3 kEntG. Die Art. 73 Abs. 4 und 5 BG müssten insoweit als Kompetenznormen zugunsten des Gemeinderates aufgefasst werden, das Enteignungsverfahren im Sinne der Art. 6 ff. der Vollziehungsverordnung zum kantonalen Enteignungsgesetz (VVzEntG) einzuleiten. Wenn sich die Parteien hingegen über die Einräumung des Rechtes einig seien, nicht aber über die Höhe der Entschädigung, sei das Schätzungsverfahren vor der Enteignungskommission gemäss Art. 11 ff. VVzEntG durchzuführen.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